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BABFDE0"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 xml:space="preserve">Exclusion zone to overhead powerlines: minimum 3 mt (≤132 kV), 6 mt (132–330 kV), 8 mt (330–500 kV), </w:t>
            </w:r>
            <w:r w:rsidR="00D701A7">
              <w:rPr>
                <w:color w:val="000000"/>
                <w:sz w:val="16"/>
                <w:szCs w:val="16"/>
              </w:rPr>
              <w:t>i</w:t>
            </w:r>
            <w:r w:rsidR="00D701A7" w:rsidRPr="00D701A7">
              <w:rPr>
                <w:color w:val="000000"/>
                <w:sz w:val="16"/>
                <w:szCs w:val="16"/>
              </w:rPr>
              <w:t>f voltage unknown, treat as high voltage and apply 8m</w:t>
            </w:r>
            <w:r w:rsidR="00D701A7">
              <w:rPr>
                <w:color w:val="000000"/>
                <w:sz w:val="16"/>
                <w:szCs w:val="16"/>
              </w:rPr>
              <w:t>t</w:t>
            </w:r>
            <w:r w:rsidR="00D701A7" w:rsidRPr="00D701A7">
              <w:rPr>
                <w:color w:val="000000"/>
                <w:sz w:val="16"/>
                <w:szCs w:val="16"/>
              </w:rPr>
              <w:t xml:space="preserve"> until confirmed with asset owner</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 hose whip. Pressure vessel failure. Noise from compressor and blasting. Hose connection failure. Dead-man control malfunction —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 Plant</w:t>
            </w:r>
          </w:p>
          <w:p>
            <w:pPr>
              <w:spacing w:before="20" w:after="20" w:line="276"/>
              <w:numPr>
                <w:ilvl w:val="0"/>
                <w:numId w:val="44"/>
              </w:numPr>
            </w:pPr>
            <w:r>
              <w:rPr>
                <w:rFonts w:ascii="Aptos" w:hAnsi="Aptos"/>
                <w:sz w:val="16"/>
                <w:szCs w:val="16"/>
              </w:rPr>
              <w:t xml:space="preserve">All hose connections fitted with safety clips/whip checks —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 no damage, kinks, or excessive wear. Nozzle bore checked — replaced when worn beyond 20% of original diameter. Compressor maintenance log current. Exclusion zone around compressor —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 dead-man control not functional — hose damage or coupling failure — pressure relief valve not working — whip checks missing —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 silicosis (if silica media used), general respiratory hazard from all media. Noise &gt;115 dB(A). Ricochet —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Blast media confirmed: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rPr>
              <w:t xml:space="preserve">Air monitoring plan in place: personal and boundary monitoring for respirable dust. Monitoring results reviewed by occupational hygienist</w:t>
            </w:r>
          </w:p>
          <w:p>
            <w:pPr>
              <w:spacing w:before="20" w:after="20" w:line="276"/>
              <w:numPr>
                <w:ilvl w:val="0"/>
                <w:numId w:val="46"/>
              </w:numPr>
            </w:pPr>
            <w:r>
              <w:rPr>
                <w:rFonts w:ascii="Aptos" w:hAnsi="Aptos"/>
                <w:sz w:val="16"/>
                <w:szCs w:val="16"/>
              </w:rPr>
              <w:t xml:space="preserve">Containment assessed: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containment: tarps, mesh screens, or full enclosure depending on location and media. Dust suppression: wet blasting (vapour blasting) where practicable to reduce airborne dust. Media recovery system where possible — vacuum or sweep recovery. Blast area physically barricaded —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plan documented: surface area, media type and consumption, profile required, containment method, waste disposal. Neighbours notified 48 hours before blasting commences. Blast times restricted per council/permit conditions — typically 7am–5pm. Dust monitoring results actioned same day — work adjusted if results exceed exposure standards. Post-blast surface profile checked with comparator gauge.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Blaster: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 air monitoring exceeds exposure standard — containment failure — dust escaping to adjacent properties — dead-man control malfunction — supplied air system fault — blast helmet visor damaged —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Enclosed blasting ventilation system operational: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 entry permit system in place</w:t>
            </w:r>
          </w:p>
          <w:p>
            <w:pPr>
              <w:spacing w:before="20" w:after="20" w:line="276"/>
              <w:numPr>
                <w:ilvl w:val="0"/>
                <w:numId w:val="48"/>
              </w:numPr>
            </w:pPr>
            <w:r>
              <w:rPr>
                <w:rFonts w:ascii="Aptos" w:hAnsi="Aptos"/>
                <w:sz w:val="16"/>
                <w:szCs w:val="16"/>
              </w:rPr>
              <w:t xml:space="preserve">Supplied air breathing apparatus confirmed: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 negative pressure prevents dust escape. Lighting rated for hazardous atmosphere if combustible media. Emergency air supply — minimum 10 minutes reserve. Blast containment sealed —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 heat stress management. Work/rest rotation schedule. Visibility check — cease blasting if visibility &lt;1m and allow dust to settle. Dust monitoring inside and outside containment. Emergency extraction procedure rehearsed.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Blaster: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 positive pressure in helmet lost — air supply quality alarm — visibility zero for &gt;5 minutes — confined space entry permit not current — standby person leaves position — heat stress symptoms — enclosure seal breached —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Bulk media delivery where possible —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 </w:t>
            </w:r>
            <w:r>
              <w:rPr>
                <w:rFonts w:ascii="Aptos" w:hAnsi="Aptos"/>
                <w:sz w:val="16"/>
                <w:szCs w:val="16"/>
              </w:rPr>
              <w:t xml:space="preserve">Media SDS reviewed — confirm no free crystalline silica. Media specification matches coating manufacturer requirements — type, particle size, hardness confirmed. Recycled media tested for contamination before re-use (lead, asbestos, other hazardous coatings). Waste media classified per EPA guidelines — disposal to licensed facility if contaminated.</w:t>
            </w:r>
          </w:p>
          <w:p>
            <w:pPr>
              <w:spacing w:before="20" w:after="20" w:line="276"/>
            </w:pPr>
            <w:r>
              <w:rPr>
                <w:rFonts w:ascii="Aptos" w:hAnsi="Aptos"/>
                <w:sz w:val="16"/>
                <w:szCs w:val="16"/>
                <w:b/>
              </w:rPr>
              <w:t xml:space="preserve">PPE: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Media contains free silica — recycled media contaminated — media wet or clumped — SDS not available —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Containment structure designed for wind loading — secured to scaffold or independent frame. Containment sealed at all joints — overlap and tape/clamp. Stormwater protection: bunding around blast area, drain covers within 10m. Waste collection system within containment — prevent media and coating waste reaching ground/stormwater.</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containment method per EPA and council requirements. Boundary dust monitoring during blasting — results compared against PM10 criteria. Noise monitoring at site boundary. Containment inspected daily — repairs before blasting resumes. Waste manifest maintained — media, coating waste, and contaminated water tracked from generation to disposal.</w:t>
            </w:r>
          </w:p>
          <w:p>
            <w:pPr>
              <w:spacing w:before="20" w:after="20" w:line="276"/>
            </w:pPr>
            <w:r>
              <w:rPr>
                <w:rFonts w:ascii="Aptos" w:hAnsi="Aptos"/>
                <w:sz w:val="16"/>
                <w:szCs w:val="16"/>
                <w:b/>
              </w:rPr>
              <w:t xml:space="preserve">PPE: </w:t>
            </w:r>
            <w:r>
              <w:rPr>
                <w:rFonts w:ascii="Aptos" w:hAnsi="Aptos"/>
                <w:sz w:val="16"/>
                <w:szCs w:val="16"/>
              </w:rPr>
              <w:t xml:space="preserve">As per blasting tasks.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Containment breach — dust visible outside containment — boundary monitoring exceeds criteria — wind damaging containment — stormwater contamination —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 personal and boundary monitoring locations and frequency specified</w:t>
            </w:r>
          </w:p>
          <w:p>
            <w:pPr>
              <w:spacing w:before="20" w:after="20" w:line="276"/>
              <w:numPr>
                <w:ilvl w:val="0"/>
                <w:numId w:val="50"/>
              </w:numPr>
            </w:pPr>
            <w:r>
              <w:rPr>
                <w:rFonts w:ascii="Aptos" w:hAnsi="Aptos"/>
                <w:sz w:val="16"/>
                <w:szCs w:val="16"/>
              </w:rPr>
              <w:t xml:space="preserve">Baseline coating analysis completed before blasting: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rPr>
              <w:t xml:space="preserve">If lead detected: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Exposure standards referenced: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 lead or asbestos detected in coating without prior assessment — monitoring equipment fault — supplied air quality test failed —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 lead content of coating quantified by laboratory analysis</w:t>
            </w:r>
          </w:p>
          <w:p>
            <w:pPr>
              <w:spacing w:before="20" w:after="20" w:line="276"/>
              <w:numPr>
                <w:ilvl w:val="0"/>
                <w:numId w:val="52"/>
              </w:numPr>
            </w:pPr>
            <w:r>
              <w:rPr>
                <w:rFonts w:ascii="Aptos" w:hAnsi="Aptos"/>
                <w:sz w:val="16"/>
                <w:szCs w:val="16"/>
              </w:rPr>
              <w:t xml:space="preserve">Full containment required: Class 1 enclosure with negative pressure ventilation and HEPA filtration per AS 4361.2</w:t>
            </w:r>
          </w:p>
          <w:p>
            <w:pPr>
              <w:spacing w:before="20" w:after="20" w:line="276"/>
              <w:numPr>
                <w:ilvl w:val="0"/>
                <w:numId w:val="52"/>
              </w:numPr>
            </w:pPr>
            <w:r>
              <w:rPr>
                <w:rFonts w:ascii="Aptos" w:hAnsi="Aptos"/>
                <w:sz w:val="16"/>
                <w:szCs w:val="16"/>
              </w:rPr>
              <w:t xml:space="preserve">Worker health surveillance: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rPr>
              <w:t xml:space="preserve">Decontamination facility established: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 minimum 4 Pascal negative pressure maintained and continuously monitored. HEPA filtration on exhaust. Decontamination shower unit at enclosure exit. Wet methods supplementary to containment —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 approved by occupational hygienist. Clearance air monitoring before enclosure dismantled — results below clearance criteria. Waste classified as hazardous — double-bagged, labelled, and disposed of at licensed facility with EPA tracking. Decontamination procedure: workers shower and change clothes before leaving site —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 left on site.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 air monitoring exceeds WES — blood lead level exceeds action level — decontamination facility not functional — HEPA filter not changed per schedule — waste not correctly contained —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Compressor positioned maximum distance from occupied areas — exhaust directed away. Noise attenuation on compressor where available. Blast nozzle selection for minimum noise — venturi nozzles quieter than straight bore. Containment enclosure provides noise reduction to surrounds.</w:t>
            </w:r>
          </w:p>
          <w:p>
            <w:pPr>
              <w:spacing w:before="20" w:after="20" w:line="276"/>
            </w:pPr>
            <w:r>
              <w:rPr>
                <w:rFonts w:ascii="Aptos" w:hAnsi="Aptos"/>
                <w:sz w:val="16"/>
                <w:szCs w:val="16"/>
                <w:b/>
              </w:rPr>
              <w:t xml:space="preserve">Admin: </w:t>
            </w:r>
            <w:r>
              <w:rPr>
                <w:rFonts w:ascii="Aptos" w:hAnsi="Aptos"/>
                <w:sz w:val="16"/>
                <w:szCs w:val="16"/>
              </w:rPr>
              <w:t xml:space="preserve">Noise assessment completed — personal exposure levels documented. Hearing conservation program in place if exposure &gt;85 dB(A) 8hr TWA: audiometric testing baseline and annual. Work hours restricted per council/EPA noise conditions — typically 7am–5pm. Noise monitoring at site boundary if near residential. Communication in blast zone: hand signals or radio — verbal communication not possible.</w:t>
            </w:r>
          </w:p>
          <w:p>
            <w:pPr>
              <w:spacing w:before="20" w:after="20" w:line="276"/>
            </w:pPr>
            <w:r>
              <w:rPr>
                <w:rFonts w:ascii="Aptos" w:hAnsi="Aptos"/>
                <w:sz w:val="16"/>
                <w:szCs w:val="16"/>
                <w:b/>
              </w:rPr>
              <w:t xml:space="preserve">PPE: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 noise monitoring exceeds council limits at boundary — audiometric testing shows threshold shift —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7">
    <w:multiLevelType w:val="hybridMultilevel"/>
    <w:lvl w:ilvl="0" w:tplc="77DCCBE4">
      <w:start w:val="1"/>
      <w:numFmt w:val="decimal"/>
      <w:lvlText w:val="%1."/>
      <w:lvlJc w:val="left"/>
      <w:pPr>
        <w:ind w:left="360" w:hanging="360"/>
      </w:pPr>
      <w:rPr>
        <w:rFonts w:hint="default"/>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9">
    <w:multiLevelType w:val="hybridMultilevel"/>
    <w:lvl w:ilvl="0" w:tplc="77DCCBE4">
      <w:start w:val="1"/>
      <w:numFmt w:val="decimal"/>
      <w:lvlText w:val="%1."/>
      <w:lvlJc w:val="left"/>
      <w:pPr>
        <w:ind w:left="360" w:hanging="360"/>
      </w:pPr>
      <w:rPr>
        <w:rFonts w:hint="default"/>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1">
    <w:multiLevelType w:val="hybridMultilevel"/>
    <w:lvl w:ilvl="0" w:tplc="77DCCBE4">
      <w:start w:val="1"/>
      <w:numFmt w:val="decimal"/>
      <w:lvlText w:val="%1."/>
      <w:lvlJc w:val="left"/>
      <w:pPr>
        <w:ind w:left="360" w:hanging="360"/>
      </w:pPr>
      <w:rPr>
        <w:rFonts w:hint="default"/>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